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78F1FA6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E23F34" w:rsidRPr="00E23F34">
        <w:rPr>
          <w:rFonts w:ascii="Arial" w:hAnsi="Arial" w:cs="Arial"/>
          <w:snapToGrid w:val="0"/>
          <w:sz w:val="22"/>
          <w:szCs w:val="22"/>
        </w:rPr>
        <w:t xml:space="preserve">Středočeský kraj a </w:t>
      </w:r>
      <w:proofErr w:type="spellStart"/>
      <w:r w:rsidR="00E23F34" w:rsidRPr="00E23F34">
        <w:rPr>
          <w:rFonts w:ascii="Arial" w:hAnsi="Arial" w:cs="Arial"/>
          <w:snapToGrid w:val="0"/>
          <w:sz w:val="22"/>
          <w:szCs w:val="22"/>
        </w:rPr>
        <w:t>hl.m.Praha</w:t>
      </w:r>
      <w:proofErr w:type="spellEnd"/>
      <w:r w:rsidR="00E23F34">
        <w:rPr>
          <w:rFonts w:ascii="Arial" w:hAnsi="Arial" w:cs="Arial"/>
          <w:snapToGrid w:val="0"/>
          <w:sz w:val="22"/>
          <w:szCs w:val="22"/>
        </w:rPr>
        <w:t xml:space="preserve">, </w:t>
      </w:r>
      <w:r w:rsidRPr="00014665">
        <w:rPr>
          <w:rFonts w:ascii="Arial" w:hAnsi="Arial" w:cs="Arial"/>
          <w:sz w:val="22"/>
          <w:szCs w:val="22"/>
        </w:rPr>
        <w:t>Pobočka</w:t>
      </w:r>
      <w:r w:rsidR="00E23F34">
        <w:rPr>
          <w:rFonts w:ascii="Arial" w:hAnsi="Arial" w:cs="Arial"/>
          <w:sz w:val="22"/>
          <w:szCs w:val="22"/>
        </w:rPr>
        <w:t xml:space="preserve"> Benešov,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adrese </w:t>
      </w:r>
      <w:r w:rsidR="00E23F34" w:rsidRPr="00E23F34">
        <w:rPr>
          <w:rFonts w:ascii="Arial" w:hAnsi="Arial" w:cs="Arial"/>
          <w:snapToGrid w:val="0"/>
          <w:sz w:val="22"/>
          <w:szCs w:val="22"/>
        </w:rPr>
        <w:t>Žižkova 360, 256 01 Benešov</w:t>
      </w:r>
    </w:p>
    <w:p w14:paraId="1E55C822" w14:textId="70BCB98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E23F34" w:rsidRPr="00E23F34">
        <w:rPr>
          <w:rFonts w:ascii="Arial" w:hAnsi="Arial" w:cs="Arial"/>
          <w:sz w:val="22"/>
          <w:szCs w:val="22"/>
        </w:rPr>
        <w:t>Ing. Rostislavem Trochtou, vedoucím Pobočky</w:t>
      </w:r>
    </w:p>
    <w:p w14:paraId="5BEB8762" w14:textId="2C4CFAA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E23F34" w:rsidRPr="00E23F34">
        <w:rPr>
          <w:rFonts w:ascii="Arial" w:hAnsi="Arial" w:cs="Arial"/>
          <w:sz w:val="22"/>
          <w:szCs w:val="22"/>
        </w:rPr>
        <w:t>Ing. Rostislavem Trochtou, vedoucím Pobočky</w:t>
      </w:r>
    </w:p>
    <w:p w14:paraId="75B59BEE" w14:textId="1730395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E23F34" w:rsidRPr="00E23F34">
        <w:rPr>
          <w:rFonts w:ascii="Arial" w:hAnsi="Arial" w:cs="Arial"/>
          <w:snapToGrid w:val="0"/>
          <w:sz w:val="22"/>
          <w:szCs w:val="22"/>
        </w:rPr>
        <w:t>Ing. Rostislavem Trochtou, vedoucím Pobočky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4CE3C665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E23F34" w:rsidRPr="00E23F34">
        <w:rPr>
          <w:rFonts w:ascii="Arial" w:hAnsi="Arial" w:cs="Arial"/>
          <w:snapToGrid w:val="0"/>
          <w:sz w:val="22"/>
          <w:szCs w:val="22"/>
        </w:rPr>
        <w:t>+ 420 725 385 662</w:t>
      </w:r>
    </w:p>
    <w:p w14:paraId="6DA97DD3" w14:textId="537CE5A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E23F34" w:rsidRPr="00E23F34">
        <w:rPr>
          <w:rFonts w:ascii="Arial" w:hAnsi="Arial" w:cs="Arial"/>
          <w:snapToGrid w:val="0"/>
          <w:sz w:val="22"/>
          <w:szCs w:val="22"/>
        </w:rPr>
        <w:t>r.trochta@spucr.cz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D5C7C44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83149A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0B5A95CD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83149A" w:rsidRPr="0083149A">
        <w:rPr>
          <w:rFonts w:ascii="Arial" w:hAnsi="Arial" w:cs="Arial"/>
          <w:snapToGrid w:val="0"/>
          <w:sz w:val="22"/>
          <w:szCs w:val="22"/>
        </w:rPr>
        <w:t xml:space="preserve">Vytyčení pozemků po KoPÚ – Pobočka </w:t>
      </w:r>
      <w:r w:rsidR="0083149A">
        <w:rPr>
          <w:rFonts w:ascii="Arial" w:hAnsi="Arial" w:cs="Arial"/>
          <w:snapToGrid w:val="0"/>
          <w:sz w:val="22"/>
          <w:szCs w:val="22"/>
        </w:rPr>
        <w:t>Benešov</w:t>
      </w:r>
      <w:r w:rsidR="0083149A" w:rsidRPr="0083149A">
        <w:rPr>
          <w:rFonts w:ascii="Arial" w:hAnsi="Arial" w:cs="Arial"/>
          <w:snapToGrid w:val="0"/>
          <w:sz w:val="22"/>
          <w:szCs w:val="22"/>
        </w:rPr>
        <w:t xml:space="preserve"> 202</w:t>
      </w:r>
      <w:r w:rsidR="002D36C8">
        <w:rPr>
          <w:rFonts w:ascii="Arial" w:hAnsi="Arial" w:cs="Arial"/>
          <w:snapToGrid w:val="0"/>
          <w:sz w:val="22"/>
          <w:szCs w:val="22"/>
        </w:rPr>
        <w:t>4</w:t>
      </w:r>
      <w:r w:rsidR="0083149A" w:rsidRPr="0083149A">
        <w:rPr>
          <w:rFonts w:ascii="Arial" w:hAnsi="Arial" w:cs="Arial"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2D3195A4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</w:t>
      </w:r>
      <w:r w:rsidR="0083149A">
        <w:rPr>
          <w:rFonts w:ascii="Arial" w:hAnsi="Arial" w:cs="Arial"/>
          <w:sz w:val="22"/>
          <w:szCs w:val="22"/>
        </w:rPr>
        <w:t xml:space="preserve"> </w:t>
      </w:r>
      <w:r w:rsidR="007A64CD" w:rsidRPr="00014665">
        <w:rPr>
          <w:rFonts w:ascii="Arial" w:hAnsi="Arial" w:cs="Arial"/>
          <w:sz w:val="22"/>
          <w:szCs w:val="22"/>
        </w:rPr>
        <w:t xml:space="preserve">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  <w:r w:rsidR="002D36C8">
        <w:rPr>
          <w:rFonts w:ascii="Arial" w:hAnsi="Arial" w:cs="Arial"/>
          <w:sz w:val="22"/>
          <w:szCs w:val="22"/>
        </w:rPr>
        <w:t>.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72FD7E57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</w:t>
      </w:r>
      <w:r w:rsidR="0083149A">
        <w:rPr>
          <w:rFonts w:ascii="Arial" w:hAnsi="Arial" w:cs="Arial"/>
          <w:sz w:val="22"/>
          <w:szCs w:val="22"/>
        </w:rPr>
        <w:t xml:space="preserve">KPÚ </w:t>
      </w:r>
      <w:r w:rsidR="0083149A" w:rsidRPr="00014665">
        <w:rPr>
          <w:rFonts w:ascii="Arial" w:hAnsi="Arial" w:cs="Arial"/>
          <w:sz w:val="22"/>
          <w:szCs w:val="22"/>
        </w:rPr>
        <w:t xml:space="preserve">pro </w:t>
      </w:r>
      <w:r w:rsidR="0083149A">
        <w:rPr>
          <w:rFonts w:ascii="Arial" w:hAnsi="Arial" w:cs="Arial"/>
          <w:sz w:val="22"/>
          <w:szCs w:val="22"/>
        </w:rPr>
        <w:t xml:space="preserve">Středočeský kraj a hlavní město </w:t>
      </w:r>
      <w:proofErr w:type="gramStart"/>
      <w:r w:rsidR="0083149A">
        <w:rPr>
          <w:rFonts w:ascii="Arial" w:hAnsi="Arial" w:cs="Arial"/>
          <w:sz w:val="22"/>
          <w:szCs w:val="22"/>
        </w:rPr>
        <w:t>Praha</w:t>
      </w:r>
      <w:r w:rsidR="0083149A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83149A" w:rsidRPr="00014665">
        <w:rPr>
          <w:rFonts w:ascii="Arial" w:hAnsi="Arial" w:cs="Arial"/>
          <w:sz w:val="22"/>
          <w:szCs w:val="22"/>
        </w:rPr>
        <w:t>,</w:t>
      </w:r>
      <w:proofErr w:type="gramEnd"/>
      <w:r w:rsidR="0083149A" w:rsidRPr="00014665">
        <w:rPr>
          <w:rFonts w:ascii="Arial" w:hAnsi="Arial" w:cs="Arial"/>
          <w:sz w:val="22"/>
          <w:szCs w:val="22"/>
        </w:rPr>
        <w:t xml:space="preserve"> Pobočky</w:t>
      </w:r>
      <w:r w:rsidR="0083149A">
        <w:rPr>
          <w:rFonts w:ascii="Arial" w:hAnsi="Arial" w:cs="Arial"/>
          <w:sz w:val="22"/>
          <w:szCs w:val="22"/>
        </w:rPr>
        <w:t xml:space="preserve"> Benešov.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01E4C0D4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2C4BEF4A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2D36C8" w:rsidRPr="002D36C8">
        <w:rPr>
          <w:rFonts w:ascii="Arial" w:hAnsi="Arial" w:cs="Arial"/>
          <w:sz w:val="22"/>
          <w:szCs w:val="22"/>
        </w:rPr>
        <w:t xml:space="preserve">k.ú. Býkovice u </w:t>
      </w:r>
      <w:proofErr w:type="spellStart"/>
      <w:r w:rsidR="002D36C8" w:rsidRPr="002D36C8">
        <w:rPr>
          <w:rFonts w:ascii="Arial" w:hAnsi="Arial" w:cs="Arial"/>
          <w:sz w:val="22"/>
          <w:szCs w:val="22"/>
        </w:rPr>
        <w:t>Bořeňovic</w:t>
      </w:r>
      <w:proofErr w:type="spellEnd"/>
      <w:r w:rsidR="002D36C8" w:rsidRPr="002D36C8">
        <w:rPr>
          <w:rFonts w:ascii="Arial" w:hAnsi="Arial" w:cs="Arial"/>
          <w:sz w:val="22"/>
          <w:szCs w:val="22"/>
        </w:rPr>
        <w:t xml:space="preserve">, k.ú. Dunice, k.ú. Chmelná u </w:t>
      </w:r>
      <w:proofErr w:type="gramStart"/>
      <w:r w:rsidR="002D36C8" w:rsidRPr="002D36C8">
        <w:rPr>
          <w:rFonts w:ascii="Arial" w:hAnsi="Arial" w:cs="Arial"/>
          <w:sz w:val="22"/>
          <w:szCs w:val="22"/>
        </w:rPr>
        <w:t>Vlašimi,  k.ú.</w:t>
      </w:r>
      <w:proofErr w:type="gramEnd"/>
      <w:r w:rsidR="002D36C8" w:rsidRPr="002D36C8">
        <w:rPr>
          <w:rFonts w:ascii="Arial" w:hAnsi="Arial" w:cs="Arial"/>
          <w:sz w:val="22"/>
          <w:szCs w:val="22"/>
        </w:rPr>
        <w:t xml:space="preserve"> Jeníkov u Vlašimi, k.ú. </w:t>
      </w:r>
      <w:proofErr w:type="spellStart"/>
      <w:r w:rsidR="002D36C8" w:rsidRPr="002D36C8">
        <w:rPr>
          <w:rFonts w:ascii="Arial" w:hAnsi="Arial" w:cs="Arial"/>
          <w:sz w:val="22"/>
          <w:szCs w:val="22"/>
        </w:rPr>
        <w:t>Křížov</w:t>
      </w:r>
      <w:proofErr w:type="spellEnd"/>
      <w:r w:rsidR="002D36C8" w:rsidRPr="002D36C8">
        <w:rPr>
          <w:rFonts w:ascii="Arial" w:hAnsi="Arial" w:cs="Arial"/>
          <w:sz w:val="22"/>
          <w:szCs w:val="22"/>
        </w:rPr>
        <w:t xml:space="preserve"> pod Blaníkem, k. ú. Myslíč a k.ú. Pozov</w:t>
      </w:r>
      <w:r w:rsidR="002D36C8">
        <w:rPr>
          <w:rFonts w:ascii="Arial" w:hAnsi="Arial" w:cs="Arial"/>
          <w:sz w:val="22"/>
          <w:szCs w:val="22"/>
        </w:rPr>
        <w:t>,</w:t>
      </w:r>
      <w:r w:rsidR="002D36C8" w:rsidRPr="002D36C8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1633FC7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2D36C8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7981C77A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013053">
        <w:rPr>
          <w:rFonts w:ascii="Arial" w:hAnsi="Arial" w:cs="Arial"/>
          <w:sz w:val="22"/>
          <w:szCs w:val="22"/>
        </w:rPr>
        <w:t>Středočeský</w:t>
      </w:r>
      <w:r w:rsidR="00013053" w:rsidRPr="00014665">
        <w:rPr>
          <w:rFonts w:ascii="Arial" w:hAnsi="Arial" w:cs="Arial"/>
          <w:sz w:val="22"/>
          <w:szCs w:val="22"/>
        </w:rPr>
        <w:t xml:space="preserve"> kraj</w:t>
      </w:r>
      <w:r w:rsidR="00013053">
        <w:rPr>
          <w:rFonts w:ascii="Arial" w:hAnsi="Arial" w:cs="Arial"/>
          <w:sz w:val="22"/>
          <w:szCs w:val="22"/>
        </w:rPr>
        <w:t xml:space="preserve"> a hlavní město Praha</w:t>
      </w:r>
      <w:r w:rsidR="00013053" w:rsidRPr="00014665">
        <w:rPr>
          <w:rFonts w:ascii="Arial" w:hAnsi="Arial" w:cs="Arial"/>
          <w:sz w:val="22"/>
          <w:szCs w:val="22"/>
        </w:rPr>
        <w:t xml:space="preserve">, Pobočku </w:t>
      </w:r>
      <w:r w:rsidR="00013053">
        <w:rPr>
          <w:rFonts w:ascii="Arial" w:hAnsi="Arial" w:cs="Arial"/>
          <w:sz w:val="22"/>
          <w:szCs w:val="22"/>
        </w:rPr>
        <w:t>Benešov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013053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014665">
        <w:rPr>
          <w:rFonts w:ascii="Arial" w:hAnsi="Arial" w:cs="Arial"/>
          <w:sz w:val="22"/>
          <w:szCs w:val="22"/>
        </w:rPr>
        <w:t xml:space="preserve">dgn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5F18F798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2D36C8">
        <w:rPr>
          <w:rFonts w:ascii="Arial" w:hAnsi="Arial" w:cs="Arial"/>
          <w:sz w:val="22"/>
          <w:szCs w:val="22"/>
        </w:rPr>
        <w:t>2</w:t>
      </w:r>
      <w:r w:rsidR="00F54C11">
        <w:rPr>
          <w:rFonts w:ascii="Arial" w:hAnsi="Arial" w:cs="Arial"/>
          <w:sz w:val="22"/>
          <w:szCs w:val="22"/>
        </w:rPr>
        <w:t>5</w:t>
      </w:r>
      <w:r w:rsidR="00013053">
        <w:rPr>
          <w:rFonts w:ascii="Arial" w:hAnsi="Arial" w:cs="Arial"/>
          <w:sz w:val="22"/>
          <w:szCs w:val="22"/>
        </w:rPr>
        <w:t>.11.202</w:t>
      </w:r>
      <w:r w:rsidR="00F54C11">
        <w:rPr>
          <w:rFonts w:ascii="Arial" w:hAnsi="Arial" w:cs="Arial"/>
          <w:sz w:val="22"/>
          <w:szCs w:val="22"/>
        </w:rPr>
        <w:t>4.</w:t>
      </w:r>
    </w:p>
    <w:p w14:paraId="77C0220C" w14:textId="77777777" w:rsidR="00013053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</w:p>
    <w:p w14:paraId="07965649" w14:textId="54FF1CE8" w:rsidR="00FD4817" w:rsidRPr="00014665" w:rsidRDefault="002D36C8" w:rsidP="00013053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  <w:r w:rsidRPr="002D36C8">
        <w:rPr>
          <w:rFonts w:ascii="Arial" w:hAnsi="Arial" w:cs="Arial"/>
          <w:sz w:val="22"/>
          <w:szCs w:val="22"/>
        </w:rPr>
        <w:t xml:space="preserve">Býkovice u </w:t>
      </w:r>
      <w:proofErr w:type="spellStart"/>
      <w:r w:rsidRPr="002D36C8">
        <w:rPr>
          <w:rFonts w:ascii="Arial" w:hAnsi="Arial" w:cs="Arial"/>
          <w:sz w:val="22"/>
          <w:szCs w:val="22"/>
        </w:rPr>
        <w:t>Bořeňovic</w:t>
      </w:r>
      <w:proofErr w:type="spellEnd"/>
      <w:r w:rsidRPr="002D36C8">
        <w:rPr>
          <w:rFonts w:ascii="Arial" w:hAnsi="Arial" w:cs="Arial"/>
          <w:sz w:val="22"/>
          <w:szCs w:val="22"/>
        </w:rPr>
        <w:t>, Dunice, Chmelná u Vlašimi, Jeníkov u Vlašimi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D36C8">
        <w:rPr>
          <w:rFonts w:ascii="Arial" w:hAnsi="Arial" w:cs="Arial"/>
          <w:sz w:val="22"/>
          <w:szCs w:val="22"/>
        </w:rPr>
        <w:t>Křížov</w:t>
      </w:r>
      <w:proofErr w:type="spellEnd"/>
      <w:r w:rsidRPr="002D36C8">
        <w:rPr>
          <w:rFonts w:ascii="Arial" w:hAnsi="Arial" w:cs="Arial"/>
          <w:sz w:val="22"/>
          <w:szCs w:val="22"/>
        </w:rPr>
        <w:t xml:space="preserve"> pod Blaníkem, Myslíč a Pozov</w:t>
      </w:r>
      <w:r w:rsidR="00500B0F" w:rsidRPr="00014665">
        <w:rPr>
          <w:rFonts w:ascii="Arial" w:hAnsi="Arial" w:cs="Arial"/>
          <w:sz w:val="22"/>
          <w:szCs w:val="22"/>
        </w:rPr>
        <w:t>.</w:t>
      </w:r>
    </w:p>
    <w:p w14:paraId="2D78EFEF" w14:textId="6AB6C38D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687B9F" w:rsidRPr="00687B9F">
        <w:rPr>
          <w:rFonts w:ascii="Arial" w:hAnsi="Arial" w:cs="Arial"/>
          <w:sz w:val="22"/>
          <w:szCs w:val="22"/>
        </w:rPr>
        <w:t xml:space="preserve">Krajský pozemkový úřad pro Středočeský kraj a </w:t>
      </w:r>
      <w:proofErr w:type="spellStart"/>
      <w:r w:rsidR="00687B9F" w:rsidRPr="00687B9F">
        <w:rPr>
          <w:rFonts w:ascii="Arial" w:hAnsi="Arial" w:cs="Arial"/>
          <w:sz w:val="22"/>
          <w:szCs w:val="22"/>
        </w:rPr>
        <w:t>hl.m.Praha</w:t>
      </w:r>
      <w:proofErr w:type="spellEnd"/>
      <w:r w:rsidR="00687B9F" w:rsidRPr="00687B9F">
        <w:rPr>
          <w:rFonts w:ascii="Arial" w:hAnsi="Arial" w:cs="Arial"/>
          <w:sz w:val="22"/>
          <w:szCs w:val="22"/>
        </w:rPr>
        <w:t>, Pobočka Benešov, Žižkova 360, 256 01 Benešov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AD60FF3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A38F293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3F4407A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B52EA7">
        <w:rPr>
          <w:rFonts w:ascii="Arial" w:hAnsi="Arial" w:cs="Arial"/>
          <w:sz w:val="22"/>
          <w:szCs w:val="22"/>
        </w:rPr>
        <w:t>15 d</w:t>
      </w:r>
      <w:r w:rsidR="00163AEF" w:rsidRPr="00014665">
        <w:rPr>
          <w:rFonts w:ascii="Arial" w:hAnsi="Arial" w:cs="Arial"/>
          <w:sz w:val="22"/>
          <w:szCs w:val="22"/>
        </w:rPr>
        <w:t xml:space="preserve">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4C5A4131" w:rsidR="00AC2F0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1A44D3" w14:textId="77777777" w:rsidR="0002662F" w:rsidRDefault="0002662F" w:rsidP="0002662F"/>
    <w:p w14:paraId="18D2C26D" w14:textId="77777777" w:rsidR="0002662F" w:rsidRPr="0002662F" w:rsidRDefault="0002662F" w:rsidP="0002662F"/>
    <w:p w14:paraId="3D83C978" w14:textId="77777777" w:rsidR="00B52EA7" w:rsidRPr="00B52EA7" w:rsidRDefault="00B52EA7" w:rsidP="00B52EA7"/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lastRenderedPageBreak/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5F094561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B52EA7">
        <w:rPr>
          <w:rFonts w:ascii="Arial" w:hAnsi="Arial" w:cs="Arial"/>
          <w:b/>
          <w:bCs/>
          <w:sz w:val="22"/>
          <w:szCs w:val="22"/>
        </w:rPr>
        <w:br/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02662F">
        <w:rPr>
          <w:rFonts w:ascii="Arial" w:hAnsi="Arial" w:cs="Arial"/>
          <w:b/>
          <w:bCs/>
          <w:sz w:val="22"/>
          <w:szCs w:val="22"/>
        </w:rPr>
        <w:t>163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00AAA4A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02935F2C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B52EA7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B52EA7" w:rsidRPr="00B52EA7">
        <w:rPr>
          <w:rFonts w:ascii="Arial" w:hAnsi="Arial" w:cs="Arial"/>
          <w:b/>
          <w:sz w:val="22"/>
          <w:szCs w:val="22"/>
        </w:rPr>
        <w:t xml:space="preserve">Krajský pozemkový úřad pro </w:t>
      </w:r>
      <w:r w:rsidR="00B52EA7" w:rsidRPr="00B52EA7">
        <w:rPr>
          <w:rFonts w:ascii="Arial" w:hAnsi="Arial" w:cs="Arial"/>
          <w:b/>
          <w:snapToGrid w:val="0"/>
          <w:sz w:val="22"/>
          <w:szCs w:val="22"/>
        </w:rPr>
        <w:t xml:space="preserve">Středočeský kraj a </w:t>
      </w:r>
      <w:proofErr w:type="spellStart"/>
      <w:r w:rsidR="00B52EA7" w:rsidRPr="00B52EA7">
        <w:rPr>
          <w:rFonts w:ascii="Arial" w:hAnsi="Arial" w:cs="Arial"/>
          <w:b/>
          <w:snapToGrid w:val="0"/>
          <w:sz w:val="22"/>
          <w:szCs w:val="22"/>
        </w:rPr>
        <w:t>hl.m.Praha</w:t>
      </w:r>
      <w:proofErr w:type="spellEnd"/>
      <w:r w:rsidR="00B52EA7" w:rsidRPr="00B52EA7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B52EA7" w:rsidRPr="00B52EA7">
        <w:rPr>
          <w:rFonts w:ascii="Arial" w:hAnsi="Arial" w:cs="Arial"/>
          <w:b/>
          <w:sz w:val="22"/>
          <w:szCs w:val="22"/>
        </w:rPr>
        <w:t xml:space="preserve">Pobočka Benešov, </w:t>
      </w:r>
      <w:r w:rsidR="00B52EA7" w:rsidRPr="00B52EA7">
        <w:rPr>
          <w:rFonts w:ascii="Arial" w:hAnsi="Arial" w:cs="Arial"/>
          <w:b/>
          <w:snapToGrid w:val="0"/>
          <w:sz w:val="22"/>
          <w:szCs w:val="22"/>
        </w:rPr>
        <w:t>adrese: Ž</w:t>
      </w:r>
      <w:r w:rsidR="00B52EA7" w:rsidRPr="00B52EA7">
        <w:rPr>
          <w:rFonts w:ascii="Arial" w:hAnsi="Arial" w:cs="Arial"/>
          <w:b/>
          <w:bCs/>
          <w:snapToGrid w:val="0"/>
          <w:sz w:val="22"/>
          <w:szCs w:val="22"/>
        </w:rPr>
        <w:t>ižkova 360, 256 01 Benešov</w:t>
      </w:r>
      <w:r w:rsidR="00B52EA7" w:rsidRPr="00B52EA7">
        <w:rPr>
          <w:rFonts w:ascii="Arial" w:hAnsi="Arial" w:cs="Arial"/>
          <w:bCs/>
          <w:snapToGrid w:val="0"/>
          <w:sz w:val="22"/>
          <w:szCs w:val="22"/>
        </w:rPr>
        <w:t>.</w:t>
      </w:r>
      <w:r w:rsidR="00B52EA7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>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69B1B631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1807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180765">
        <w:rPr>
          <w:rFonts w:ascii="Arial" w:hAnsi="Arial" w:cs="Arial"/>
          <w:sz w:val="22"/>
          <w:szCs w:val="22"/>
        </w:rPr>
        <w:t xml:space="preserve"> Benešov.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160A8CA1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2DC1B968" w14:textId="7BF2981B" w:rsidR="00180765" w:rsidRDefault="00180765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4C22F08" w14:textId="586298C6" w:rsidR="00180765" w:rsidRDefault="00180765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598BCB08" w14:textId="62F8C959" w:rsidR="00180765" w:rsidRDefault="00180765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7BF3A36A" w14:textId="77777777" w:rsidR="003B47AE" w:rsidRDefault="003B47A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B2D9FCE" w14:textId="77777777" w:rsidR="003B47AE" w:rsidRDefault="003B47A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A99693C" w14:textId="77777777" w:rsidR="00180765" w:rsidRDefault="00180765" w:rsidP="00180765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PODPISOVÁ STRANA</w:t>
      </w:r>
    </w:p>
    <w:p w14:paraId="1D1967EB" w14:textId="77777777" w:rsidR="00180765" w:rsidRPr="00014665" w:rsidRDefault="00180765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7FFE390E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180765">
        <w:rPr>
          <w:rFonts w:ascii="Arial" w:hAnsi="Arial" w:cs="Arial"/>
          <w:sz w:val="22"/>
          <w:szCs w:val="22"/>
        </w:rPr>
        <w:t>Benešov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441A8C1F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180765">
        <w:rPr>
          <w:rFonts w:ascii="Arial" w:hAnsi="Arial" w:cs="Arial"/>
          <w:sz w:val="22"/>
          <w:szCs w:val="22"/>
        </w:rPr>
        <w:t>Ing. Rostislav Trochta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35A37E8A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180765">
        <w:rPr>
          <w:rFonts w:ascii="Arial" w:hAnsi="Arial" w:cs="Arial"/>
          <w:sz w:val="22"/>
          <w:szCs w:val="22"/>
        </w:rPr>
        <w:t>ved</w:t>
      </w:r>
      <w:r w:rsidR="009E40D8">
        <w:rPr>
          <w:rFonts w:ascii="Arial" w:hAnsi="Arial" w:cs="Arial"/>
          <w:sz w:val="22"/>
          <w:szCs w:val="22"/>
        </w:rPr>
        <w:t>o</w:t>
      </w:r>
      <w:r w:rsidR="00180765">
        <w:rPr>
          <w:rFonts w:ascii="Arial" w:hAnsi="Arial" w:cs="Arial"/>
          <w:sz w:val="22"/>
          <w:szCs w:val="22"/>
        </w:rPr>
        <w:t>ucí Pobočky Benešov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06F4935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FC57753" w14:textId="77777777" w:rsidR="00180765" w:rsidRPr="00014665" w:rsidRDefault="00180765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5AD19EF7" w14:textId="77777777" w:rsidR="00050AEF" w:rsidRPr="00014665" w:rsidRDefault="00050AEF" w:rsidP="00050AEF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</w:p>
    <w:p w14:paraId="472FFEA2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CF2047E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05A9534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5D554F3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9A38ED1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8C4B14F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7C24CDF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581AB18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2F6798E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7BC36DC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6293827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4A538A5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B53C9CE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F3E5F52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F868EDA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EBB2B8C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F4D1AD4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2C5AE5F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C08D18A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0FA304B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A65EA5D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AAC2436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078B3F9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2687118" w14:textId="77777777" w:rsidR="00E9054B" w:rsidRDefault="00E9054B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C36B5E8" w14:textId="225059C0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</w:t>
      </w:r>
      <w:r w:rsidR="00180765" w:rsidRPr="00014665">
        <w:rPr>
          <w:rFonts w:ascii="Arial" w:hAnsi="Arial" w:cs="Arial"/>
          <w:sz w:val="22"/>
          <w:szCs w:val="22"/>
        </w:rPr>
        <w:t xml:space="preserve">katastrálního území </w:t>
      </w:r>
    </w:p>
    <w:tbl>
      <w:tblPr>
        <w:tblW w:w="7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020"/>
        <w:gridCol w:w="1815"/>
        <w:gridCol w:w="2410"/>
      </w:tblGrid>
      <w:tr w:rsidR="003B47AE" w:rsidRPr="003B47AE" w14:paraId="54FFACF0" w14:textId="77777777" w:rsidTr="003B47AE">
        <w:trPr>
          <w:trHeight w:val="31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72B6E0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DE6FD0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74607F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Parcelní číslo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0A6AB1F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Zadání vytyčení</w:t>
            </w:r>
          </w:p>
        </w:tc>
      </w:tr>
      <w:tr w:rsidR="003B47AE" w:rsidRPr="003B47AE" w14:paraId="43269471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4382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 xml:space="preserve">Býkovice u </w:t>
            </w:r>
            <w:proofErr w:type="spellStart"/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Bořeňovic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C7A5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AA55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1405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A4ADB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6EC4611A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8792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Dunice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C1B0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21A7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1913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0DDA8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767A30D3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11EF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Dunice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08D1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11AB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2070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09B7F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7B925EA2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F8C0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Dunice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BF62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E014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2069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93211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61CC2B9C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705B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Dunice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1512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2E5B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2067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4123B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57107D3C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F921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51AF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9997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742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A08CD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0B67025E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3BB1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C76B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5711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752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F297A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424CF7F3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89D9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F80F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5A6D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781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CCE8F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1835C522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015E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2FB0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6A26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796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D0D58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7E456CE3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6CDC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2703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77ED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3B721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5079E30E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4311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ADBA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AE82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08778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7F6F657D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6F78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3133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4CDD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787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EA43B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7DCA720A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6890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5BC4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46FF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A617A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51B8A6DD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D8FA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C5A9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D23C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652F0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729CC112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58DB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AAF8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A4AA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BECEB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02AC9953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B73E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87FB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ACD0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05F15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2CB790FF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BFD3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BDBF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2CCA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C2A81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39B7CF0F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637A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F4D2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EA4A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793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2F617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3886AAA2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5248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7A36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2C3A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A9944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2C614236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D61B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87B4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B936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64EFF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3A5EED3C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E696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E194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E9D8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CDFB6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6F7400D5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DF67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5B04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982B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760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4A329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7B2B401A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DA46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82AD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F91E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0DEAC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159FA2D1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1A8F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B631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5243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4B3BA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6E22F62A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E0E7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C181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458E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721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E54AA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39D7B30D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A590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6C57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1614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739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EDA41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337A805F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BF7C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AFA5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1E3D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894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1E712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188B7C79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8663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87EA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F0E8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895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FA00A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130971BE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EEEC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99B8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F458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896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FBF45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6DA77F56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37EC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57E3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82BF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897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BA6B6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6AE7EF85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03AC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BA05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134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382B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898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2A81C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6AB5B88C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A7BE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098D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44C9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845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68F56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0D48ECE1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B8B0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0C02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7AEC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0938A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746EBC24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1BC0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6E71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A8C9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E08A7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26EA3E00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AA3C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B510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E48D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47AE">
              <w:rPr>
                <w:rFonts w:ascii="Arial" w:hAnsi="Arial" w:cs="Arial"/>
                <w:sz w:val="22"/>
                <w:szCs w:val="22"/>
              </w:rPr>
              <w:t>878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DE8D6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231D24AE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3AFA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4C69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057A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6EF09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5C5AA61F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FD28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A81F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6C4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F1E4F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1949DEAC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E2FB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8A5A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905D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60850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40342531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3EC1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5CE3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4416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CCEBD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234E270F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9E4C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Chmelná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86C0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55FB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15D1F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6D4A8B55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3827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Jeníkov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F182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CAB1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3502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CA033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042B37DF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2EAB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Jeníkov u Vlašimi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3A73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2FEE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3497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1BBB8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21D56CBD" w14:textId="77777777" w:rsidTr="003B47AE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1811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Křížov</w:t>
            </w:r>
            <w:proofErr w:type="spellEnd"/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pod Blaníkem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048B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FD18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1257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B6F30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117AD1AE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6282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Křížov</w:t>
            </w:r>
            <w:proofErr w:type="spellEnd"/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pod Blaníkem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D285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021F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1267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735E1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0E827539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CAFE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Křížov</w:t>
            </w:r>
            <w:proofErr w:type="spellEnd"/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pod Blaníkem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3064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360E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1258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9AD18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6A6513BD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B6CB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Křížov</w:t>
            </w:r>
            <w:proofErr w:type="spellEnd"/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pod Blaníkem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4E3C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0805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A98CE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61B9D89E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3212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Myslíč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B268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1FC4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86FE7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2B085C3F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0E39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Myslíč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7EF7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B6E6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859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2886B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ČÁST</w:t>
            </w:r>
          </w:p>
        </w:tc>
      </w:tr>
      <w:tr w:rsidR="003B47AE" w:rsidRPr="003B47AE" w14:paraId="645A597E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9B86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Pozov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5E30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30AD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0437F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664A23BC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285D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Pozov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5FB7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A090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1297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966D1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744688F6" w14:textId="77777777" w:rsidTr="003B47AE">
        <w:trPr>
          <w:trHeight w:val="30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CBE6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Pozov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FFE9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60D0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1334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3FD3A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  <w:tr w:rsidR="003B47AE" w:rsidRPr="003B47AE" w14:paraId="2C9E20A0" w14:textId="77777777" w:rsidTr="003B47AE">
        <w:trPr>
          <w:trHeight w:val="31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3EFA" w14:textId="77777777" w:rsidR="003B47AE" w:rsidRPr="003B47AE" w:rsidRDefault="003B47AE" w:rsidP="003B47A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Pozov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CF2B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7000" w14:textId="77777777" w:rsidR="003B47AE" w:rsidRPr="003B47AE" w:rsidRDefault="003B47AE" w:rsidP="003B47AE">
            <w:pPr>
              <w:spacing w:before="0"/>
              <w:ind w:left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1354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E7F7F" w14:textId="77777777" w:rsidR="003B47AE" w:rsidRPr="003B47AE" w:rsidRDefault="003B47AE" w:rsidP="003B47A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7AE">
              <w:rPr>
                <w:rFonts w:ascii="Arial" w:hAnsi="Arial" w:cs="Arial"/>
                <w:color w:val="000000"/>
                <w:sz w:val="22"/>
                <w:szCs w:val="22"/>
              </w:rPr>
              <w:t>CELÁ</w:t>
            </w:r>
          </w:p>
        </w:tc>
      </w:tr>
    </w:tbl>
    <w:p w14:paraId="2857E53D" w14:textId="77777777" w:rsidR="003B47AE" w:rsidRDefault="003B47AE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3B47AE" w:rsidSect="00A10967"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4BC0" w14:textId="77777777" w:rsidR="001A2E35" w:rsidRDefault="001A2E35" w:rsidP="003C2E23">
      <w:pPr>
        <w:spacing w:before="0"/>
      </w:pPr>
      <w:r>
        <w:separator/>
      </w:r>
    </w:p>
  </w:endnote>
  <w:endnote w:type="continuationSeparator" w:id="0">
    <w:p w14:paraId="19A695E3" w14:textId="77777777" w:rsidR="001A2E35" w:rsidRDefault="001A2E35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46D3" w14:textId="77777777" w:rsidR="001A2E35" w:rsidRDefault="001A2E35" w:rsidP="003C2E23">
      <w:pPr>
        <w:spacing w:before="0"/>
      </w:pPr>
      <w:r>
        <w:separator/>
      </w:r>
    </w:p>
  </w:footnote>
  <w:footnote w:type="continuationSeparator" w:id="0">
    <w:p w14:paraId="2290EE9F" w14:textId="77777777" w:rsidR="001A2E35" w:rsidRDefault="001A2E35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656E" w14:textId="2EC37A63" w:rsidR="00687B9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</w:p>
  <w:p w14:paraId="6E5A20B8" w14:textId="1ECC8CFE" w:rsidR="00FF0C21" w:rsidRPr="00FF7DBF" w:rsidRDefault="00687B9F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proofErr w:type="gramStart"/>
    <w:r>
      <w:rPr>
        <w:rFonts w:ascii="Arial" w:hAnsi="Arial" w:cs="Arial"/>
        <w:sz w:val="16"/>
        <w:szCs w:val="16"/>
      </w:rPr>
      <w:t>Č.j.:</w:t>
    </w:r>
    <w:r w:rsidR="006E14BF">
      <w:rPr>
        <w:rFonts w:ascii="Arial" w:hAnsi="Arial" w:cs="Arial"/>
        <w:sz w:val="16"/>
        <w:szCs w:val="16"/>
      </w:rPr>
      <w:t>;</w:t>
    </w:r>
    <w:proofErr w:type="gramEnd"/>
    <w:r>
      <w:rPr>
        <w:rFonts w:ascii="Arial" w:hAnsi="Arial" w:cs="Arial"/>
        <w:sz w:val="16"/>
        <w:szCs w:val="16"/>
      </w:rPr>
      <w:t xml:space="preserve"> UID:</w:t>
    </w:r>
    <w:r w:rsidR="006E14BF">
      <w:rPr>
        <w:rFonts w:ascii="Arial" w:hAnsi="Arial" w:cs="Arial"/>
        <w:sz w:val="16"/>
        <w:szCs w:val="16"/>
      </w:rPr>
      <w:t xml:space="preserve">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3053"/>
    <w:rsid w:val="00014665"/>
    <w:rsid w:val="00015AA5"/>
    <w:rsid w:val="0002251A"/>
    <w:rsid w:val="0002662F"/>
    <w:rsid w:val="00050AEF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0765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6C8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B47AE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3101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87B9F"/>
    <w:rsid w:val="006902C6"/>
    <w:rsid w:val="006A2316"/>
    <w:rsid w:val="006A6A69"/>
    <w:rsid w:val="006B2EE2"/>
    <w:rsid w:val="006B7D60"/>
    <w:rsid w:val="006D0149"/>
    <w:rsid w:val="006D681C"/>
    <w:rsid w:val="006E0028"/>
    <w:rsid w:val="006E14BF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49A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E40D8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87651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04418"/>
    <w:rsid w:val="00B2052C"/>
    <w:rsid w:val="00B24B48"/>
    <w:rsid w:val="00B26FC9"/>
    <w:rsid w:val="00B33054"/>
    <w:rsid w:val="00B33B52"/>
    <w:rsid w:val="00B40096"/>
    <w:rsid w:val="00B467FB"/>
    <w:rsid w:val="00B51C4C"/>
    <w:rsid w:val="00B52EA7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3F34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054B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4C11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14</Pages>
  <Words>5032</Words>
  <Characters>29689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Trochta Rostislav Ing.</cp:lastModifiedBy>
  <cp:revision>10</cp:revision>
  <cp:lastPrinted>2019-05-02T06:41:00Z</cp:lastPrinted>
  <dcterms:created xsi:type="dcterms:W3CDTF">2023-08-02T08:06:00Z</dcterms:created>
  <dcterms:modified xsi:type="dcterms:W3CDTF">2024-08-26T04:21:00Z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